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42B" w:rsidRDefault="00C87DD3">
      <w:pPr>
        <w:spacing w:line="240" w:lineRule="atLeast"/>
        <w:jc w:val="center"/>
        <w:rPr>
          <w:rFonts w:ascii="锐字云字库楷体1.0" w:eastAsia="锐字云字库楷体1.0" w:hAnsi="锐字云字库楷体1.0" w:cs="锐字云字库楷体1.0"/>
          <w:b/>
          <w:bCs/>
          <w:sz w:val="28"/>
          <w:szCs w:val="28"/>
        </w:rPr>
      </w:pPr>
      <w:r>
        <w:rPr>
          <w:rFonts w:ascii="锐字云字库楷体1.0" w:eastAsia="锐字云字库楷体1.0" w:hAnsi="锐字云字库楷体1.0" w:cs="锐字云字库楷体1.0" w:hint="eastAsia"/>
          <w:b/>
          <w:bCs/>
          <w:sz w:val="28"/>
          <w:szCs w:val="28"/>
        </w:rPr>
        <w:t>蓬莱路第二小学课堂教学观察评价表（试行）</w:t>
      </w:r>
    </w:p>
    <w:p w:rsidR="0065142B" w:rsidRDefault="005248C4">
      <w:pPr>
        <w:spacing w:line="240" w:lineRule="atLeast"/>
        <w:rPr>
          <w:rFonts w:ascii="锐字云字库楷体1.0" w:eastAsia="锐字云字库楷体1.0" w:hAnsi="锐字云字库楷体1.0" w:cs="锐字云字库楷体1.0"/>
          <w:szCs w:val="21"/>
          <w:u w:val="single"/>
        </w:rPr>
      </w:pPr>
      <w:r>
        <w:rPr>
          <w:rFonts w:ascii="锐字云字库楷体1.0" w:eastAsia="锐字云字库楷体1.0" w:hAnsi="锐字云字库楷体1.0" w:cs="锐字云字库楷体1.0" w:hint="eastAsia"/>
          <w:szCs w:val="21"/>
        </w:rPr>
        <w:t xml:space="preserve">   </w:t>
      </w:r>
      <w:r w:rsidR="00C87DD3">
        <w:rPr>
          <w:rFonts w:ascii="锐字云字库楷体1.0" w:eastAsia="锐字云字库楷体1.0" w:hAnsi="锐字云字库楷体1.0" w:cs="锐字云字库楷体1.0" w:hint="eastAsia"/>
          <w:szCs w:val="21"/>
        </w:rPr>
        <w:t>观评人：</w:t>
      </w:r>
      <w:r>
        <w:rPr>
          <w:rFonts w:ascii="锐字云字库楷体1.0" w:eastAsia="锐字云字库楷体1.0" w:hAnsi="锐字云字库楷体1.0" w:cs="锐字云字库楷体1.0" w:hint="eastAsia"/>
          <w:szCs w:val="21"/>
        </w:rPr>
        <w:t xml:space="preserve"> </w:t>
      </w:r>
      <w:r w:rsidR="00EB4146">
        <w:rPr>
          <w:rFonts w:ascii="锐字云字库楷体1.0" w:eastAsia="锐字云字库楷体1.0" w:hAnsi="锐字云字库楷体1.0" w:cs="锐字云字库楷体1.0" w:hint="eastAsia"/>
          <w:szCs w:val="21"/>
        </w:rPr>
        <w:t>张俐</w:t>
      </w:r>
      <w:r>
        <w:rPr>
          <w:rFonts w:ascii="锐字云字库楷体1.0" w:eastAsia="锐字云字库楷体1.0" w:hAnsi="锐字云字库楷体1.0" w:cs="锐字云字库楷体1.0" w:hint="eastAsia"/>
          <w:szCs w:val="21"/>
        </w:rPr>
        <w:t xml:space="preserve">              </w:t>
      </w:r>
      <w:r w:rsidR="00C87DD3">
        <w:rPr>
          <w:rFonts w:ascii="锐字云字库楷体1.0" w:eastAsia="锐字云字库楷体1.0" w:hAnsi="锐字云字库楷体1.0" w:cs="锐字云字库楷体1.0" w:hint="eastAsia"/>
          <w:szCs w:val="21"/>
        </w:rPr>
        <w:t>观评日期：</w:t>
      </w:r>
      <w:r w:rsidR="00E055D2">
        <w:rPr>
          <w:rFonts w:ascii="锐字云字库楷体1.0" w:eastAsia="锐字云字库楷体1.0" w:hAnsi="锐字云字库楷体1.0" w:cs="锐字云字库楷体1.0" w:hint="eastAsia"/>
          <w:szCs w:val="21"/>
        </w:rPr>
        <w:t>2017年</w:t>
      </w:r>
      <w:r w:rsidR="00EB4146">
        <w:rPr>
          <w:rFonts w:ascii="锐字云字库楷体1.0" w:eastAsia="锐字云字库楷体1.0" w:hAnsi="锐字云字库楷体1.0" w:cs="锐字云字库楷体1.0" w:hint="eastAsia"/>
          <w:szCs w:val="21"/>
        </w:rPr>
        <w:t>9</w:t>
      </w:r>
      <w:r w:rsidR="00E055D2">
        <w:rPr>
          <w:rFonts w:ascii="锐字云字库楷体1.0" w:eastAsia="锐字云字库楷体1.0" w:hAnsi="锐字云字库楷体1.0" w:cs="锐字云字库楷体1.0" w:hint="eastAsia"/>
          <w:szCs w:val="21"/>
        </w:rPr>
        <w:t>月</w:t>
      </w:r>
      <w:r w:rsidR="00EB4146">
        <w:rPr>
          <w:rFonts w:ascii="锐字云字库楷体1.0" w:eastAsia="锐字云字库楷体1.0" w:hAnsi="锐字云字库楷体1.0" w:cs="锐字云字库楷体1.0" w:hint="eastAsia"/>
          <w:szCs w:val="21"/>
        </w:rPr>
        <w:t>26</w:t>
      </w:r>
      <w:r w:rsidR="00E055D2">
        <w:rPr>
          <w:rFonts w:ascii="锐字云字库楷体1.0" w:eastAsia="锐字云字库楷体1.0" w:hAnsi="锐字云字库楷体1.0" w:cs="锐字云字库楷体1.0" w:hint="eastAsia"/>
          <w:szCs w:val="21"/>
        </w:rPr>
        <w:t>日</w:t>
      </w:r>
    </w:p>
    <w:tbl>
      <w:tblPr>
        <w:tblStyle w:val="a5"/>
        <w:tblpPr w:leftFromText="180" w:rightFromText="180" w:vertAnchor="text" w:horzAnchor="page" w:tblpX="1808" w:tblpY="117"/>
        <w:tblOverlap w:val="never"/>
        <w:tblW w:w="8648" w:type="dxa"/>
        <w:tblLayout w:type="fixed"/>
        <w:tblLook w:val="04A0"/>
      </w:tblPr>
      <w:tblGrid>
        <w:gridCol w:w="752"/>
        <w:gridCol w:w="735"/>
        <w:gridCol w:w="893"/>
        <w:gridCol w:w="949"/>
        <w:gridCol w:w="775"/>
        <w:gridCol w:w="1563"/>
        <w:gridCol w:w="680"/>
        <w:gridCol w:w="780"/>
        <w:gridCol w:w="750"/>
        <w:gridCol w:w="771"/>
      </w:tblGrid>
      <w:tr w:rsidR="0065142B" w:rsidTr="00EB4146">
        <w:trPr>
          <w:trHeight w:val="274"/>
        </w:trPr>
        <w:tc>
          <w:tcPr>
            <w:tcW w:w="752" w:type="dxa"/>
          </w:tcPr>
          <w:p w:rsidR="0065142B" w:rsidRDefault="00C87DD3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学科</w:t>
            </w:r>
          </w:p>
        </w:tc>
        <w:tc>
          <w:tcPr>
            <w:tcW w:w="735" w:type="dxa"/>
          </w:tcPr>
          <w:p w:rsidR="0065142B" w:rsidRDefault="00EB4146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探究</w:t>
            </w:r>
          </w:p>
        </w:tc>
        <w:tc>
          <w:tcPr>
            <w:tcW w:w="893" w:type="dxa"/>
          </w:tcPr>
          <w:p w:rsidR="0065142B" w:rsidRDefault="00C87DD3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教师</w:t>
            </w:r>
          </w:p>
        </w:tc>
        <w:tc>
          <w:tcPr>
            <w:tcW w:w="949" w:type="dxa"/>
          </w:tcPr>
          <w:p w:rsidR="0065142B" w:rsidRDefault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胡莹</w:t>
            </w:r>
          </w:p>
        </w:tc>
        <w:tc>
          <w:tcPr>
            <w:tcW w:w="775" w:type="dxa"/>
          </w:tcPr>
          <w:p w:rsidR="0065142B" w:rsidRDefault="00C87DD3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班级</w:t>
            </w:r>
          </w:p>
        </w:tc>
        <w:tc>
          <w:tcPr>
            <w:tcW w:w="1563" w:type="dxa"/>
          </w:tcPr>
          <w:p w:rsidR="0065142B" w:rsidRDefault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二</w:t>
            </w:r>
            <w:r w:rsidR="00E055D2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680" w:type="dxa"/>
          </w:tcPr>
          <w:p w:rsidR="0065142B" w:rsidRDefault="00C87DD3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课题</w:t>
            </w:r>
          </w:p>
        </w:tc>
        <w:tc>
          <w:tcPr>
            <w:tcW w:w="2301" w:type="dxa"/>
            <w:gridSpan w:val="3"/>
          </w:tcPr>
          <w:p w:rsidR="0065142B" w:rsidRDefault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如何正确认识图书</w:t>
            </w:r>
          </w:p>
        </w:tc>
      </w:tr>
      <w:tr w:rsidR="0065142B">
        <w:trPr>
          <w:trHeight w:val="307"/>
        </w:trPr>
        <w:tc>
          <w:tcPr>
            <w:tcW w:w="752" w:type="dxa"/>
            <w:vMerge w:val="restart"/>
          </w:tcPr>
          <w:p w:rsidR="0065142B" w:rsidRDefault="00C87DD3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观评维度</w:t>
            </w:r>
          </w:p>
        </w:tc>
        <w:tc>
          <w:tcPr>
            <w:tcW w:w="735" w:type="dxa"/>
            <w:vMerge w:val="restart"/>
          </w:tcPr>
          <w:p w:rsidR="0065142B" w:rsidRDefault="00C87DD3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观评</w:t>
            </w:r>
          </w:p>
          <w:p w:rsidR="0065142B" w:rsidRDefault="00C87DD3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指标</w:t>
            </w:r>
          </w:p>
        </w:tc>
        <w:tc>
          <w:tcPr>
            <w:tcW w:w="4180" w:type="dxa"/>
            <w:gridSpan w:val="4"/>
            <w:vMerge w:val="restart"/>
          </w:tcPr>
          <w:p w:rsidR="0065142B" w:rsidRDefault="00C87DD3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观评要点（标准）</w:t>
            </w:r>
          </w:p>
        </w:tc>
        <w:tc>
          <w:tcPr>
            <w:tcW w:w="2981" w:type="dxa"/>
            <w:gridSpan w:val="4"/>
          </w:tcPr>
          <w:p w:rsidR="0065142B" w:rsidRDefault="00C87DD3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观评满意度</w:t>
            </w:r>
          </w:p>
        </w:tc>
      </w:tr>
      <w:tr w:rsidR="0065142B">
        <w:trPr>
          <w:trHeight w:val="182"/>
        </w:trPr>
        <w:tc>
          <w:tcPr>
            <w:tcW w:w="752" w:type="dxa"/>
            <w:vMerge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35" w:type="dxa"/>
            <w:vMerge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180" w:type="dxa"/>
            <w:gridSpan w:val="4"/>
            <w:vMerge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</w:tcPr>
          <w:p w:rsidR="0065142B" w:rsidRDefault="00C87DD3">
            <w:pPr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A</w:t>
            </w:r>
          </w:p>
        </w:tc>
        <w:tc>
          <w:tcPr>
            <w:tcW w:w="780" w:type="dxa"/>
          </w:tcPr>
          <w:p w:rsidR="0065142B" w:rsidRDefault="00C87DD3">
            <w:pPr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B</w:t>
            </w:r>
          </w:p>
        </w:tc>
        <w:tc>
          <w:tcPr>
            <w:tcW w:w="750" w:type="dxa"/>
          </w:tcPr>
          <w:p w:rsidR="0065142B" w:rsidRDefault="00C87DD3">
            <w:pPr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C</w:t>
            </w:r>
          </w:p>
        </w:tc>
        <w:tc>
          <w:tcPr>
            <w:tcW w:w="771" w:type="dxa"/>
          </w:tcPr>
          <w:p w:rsidR="0065142B" w:rsidRDefault="00C87DD3">
            <w:pPr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D</w:t>
            </w:r>
          </w:p>
        </w:tc>
      </w:tr>
      <w:tr w:rsidR="00EB4146">
        <w:trPr>
          <w:trHeight w:val="761"/>
        </w:trPr>
        <w:tc>
          <w:tcPr>
            <w:tcW w:w="752" w:type="dxa"/>
            <w:vMerge w:val="restart"/>
          </w:tcPr>
          <w:p w:rsidR="00EB4146" w:rsidRDefault="00EB4146" w:rsidP="00EB4146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EB4146" w:rsidRDefault="00EB4146" w:rsidP="00EB4146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EB4146" w:rsidRDefault="00EB4146" w:rsidP="00EB4146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EB4146" w:rsidRDefault="00EB4146" w:rsidP="00EB4146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EB4146" w:rsidRDefault="00EB4146" w:rsidP="00EB4146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EB4146" w:rsidRDefault="00EB4146" w:rsidP="00EB4146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EB4146" w:rsidRDefault="00EB4146" w:rsidP="00EB4146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</w:t>
            </w:r>
          </w:p>
          <w:p w:rsidR="00EB4146" w:rsidRDefault="00EB4146" w:rsidP="00EB4146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师</w:t>
            </w:r>
          </w:p>
          <w:p w:rsidR="00EB4146" w:rsidRDefault="00EB4146" w:rsidP="00EB4146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</w:t>
            </w:r>
          </w:p>
          <w:p w:rsidR="00EB4146" w:rsidRDefault="00EB4146" w:rsidP="00EB4146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</w:t>
            </w:r>
          </w:p>
          <w:p w:rsidR="00EB4146" w:rsidRDefault="00EB4146" w:rsidP="00EB4146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行</w:t>
            </w:r>
          </w:p>
          <w:p w:rsidR="00EB4146" w:rsidRDefault="00EB4146" w:rsidP="00EB4146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为</w:t>
            </w:r>
          </w:p>
        </w:tc>
        <w:tc>
          <w:tcPr>
            <w:tcW w:w="735" w:type="dxa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教学</w:t>
            </w:r>
          </w:p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设计</w:t>
            </w:r>
          </w:p>
        </w:tc>
        <w:tc>
          <w:tcPr>
            <w:tcW w:w="4180" w:type="dxa"/>
            <w:gridSpan w:val="4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1、教学目标明确，符合课程标准</w:t>
            </w:r>
            <w:r>
              <w:rPr>
                <w:rFonts w:ascii="宋体" w:eastAsia="宋体" w:hAnsi="宋体" w:cs="宋体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szCs w:val="21"/>
              </w:rPr>
              <w:t>教学基本要求；教材内容处理适切，符合学生实际；教学方式体现学科（课型）特征。</w:t>
            </w:r>
          </w:p>
        </w:tc>
        <w:tc>
          <w:tcPr>
            <w:tcW w:w="680" w:type="dxa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80" w:type="dxa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√</w:t>
            </w:r>
          </w:p>
        </w:tc>
        <w:tc>
          <w:tcPr>
            <w:tcW w:w="750" w:type="dxa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1" w:type="dxa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EB4146">
        <w:trPr>
          <w:trHeight w:val="204"/>
        </w:trPr>
        <w:tc>
          <w:tcPr>
            <w:tcW w:w="752" w:type="dxa"/>
            <w:vMerge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35" w:type="dxa"/>
            <w:vMerge w:val="restart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教学</w:t>
            </w:r>
          </w:p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过程</w:t>
            </w:r>
          </w:p>
        </w:tc>
        <w:tc>
          <w:tcPr>
            <w:tcW w:w="4180" w:type="dxa"/>
            <w:gridSpan w:val="4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2、面向全体学生，营造和谐向上的课堂氛围；关注不同层次学生学习状况和需求，注重因材施教；注重学法指导和思维品质培养；注重“蓬莱小镇”元素融入教学过程。</w:t>
            </w:r>
          </w:p>
        </w:tc>
        <w:tc>
          <w:tcPr>
            <w:tcW w:w="680" w:type="dxa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80" w:type="dxa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√</w:t>
            </w:r>
          </w:p>
        </w:tc>
        <w:tc>
          <w:tcPr>
            <w:tcW w:w="750" w:type="dxa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1" w:type="dxa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EB4146">
        <w:trPr>
          <w:trHeight w:val="204"/>
        </w:trPr>
        <w:tc>
          <w:tcPr>
            <w:tcW w:w="752" w:type="dxa"/>
            <w:vMerge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35" w:type="dxa"/>
            <w:vMerge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180" w:type="dxa"/>
            <w:gridSpan w:val="4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3、注重学科资源开发和多媒体等教学技术有效使用；注重情境创设和即时性过程性的有效评价；注重教学内容的重点突出和难点突破（分解）。</w:t>
            </w:r>
          </w:p>
        </w:tc>
        <w:tc>
          <w:tcPr>
            <w:tcW w:w="680" w:type="dxa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√</w:t>
            </w:r>
          </w:p>
        </w:tc>
        <w:tc>
          <w:tcPr>
            <w:tcW w:w="780" w:type="dxa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0" w:type="dxa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1" w:type="dxa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EB4146">
        <w:trPr>
          <w:trHeight w:val="503"/>
        </w:trPr>
        <w:tc>
          <w:tcPr>
            <w:tcW w:w="752" w:type="dxa"/>
            <w:vMerge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35" w:type="dxa"/>
            <w:vMerge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180" w:type="dxa"/>
            <w:gridSpan w:val="4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4、善于观察，关注课堂生成；善于对学生表现的激励与调控，注重传授与启发探究多元方式的结合；教学环节过程紧凑完整，教学目标达成度较高。</w:t>
            </w:r>
          </w:p>
        </w:tc>
        <w:tc>
          <w:tcPr>
            <w:tcW w:w="680" w:type="dxa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80" w:type="dxa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√</w:t>
            </w:r>
          </w:p>
        </w:tc>
        <w:tc>
          <w:tcPr>
            <w:tcW w:w="750" w:type="dxa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1" w:type="dxa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EB4146">
        <w:trPr>
          <w:trHeight w:val="906"/>
        </w:trPr>
        <w:tc>
          <w:tcPr>
            <w:tcW w:w="752" w:type="dxa"/>
            <w:vMerge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35" w:type="dxa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教学</w:t>
            </w:r>
          </w:p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素养</w:t>
            </w:r>
          </w:p>
        </w:tc>
        <w:tc>
          <w:tcPr>
            <w:tcW w:w="4180" w:type="dxa"/>
            <w:gridSpan w:val="4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5、教态亲切自然、尊重学生；语言规范、表达清晰；教风良好，富有感染力。</w:t>
            </w:r>
          </w:p>
        </w:tc>
        <w:tc>
          <w:tcPr>
            <w:tcW w:w="680" w:type="dxa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√</w:t>
            </w:r>
          </w:p>
        </w:tc>
        <w:tc>
          <w:tcPr>
            <w:tcW w:w="780" w:type="dxa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0" w:type="dxa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1" w:type="dxa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EB4146">
        <w:trPr>
          <w:trHeight w:val="204"/>
        </w:trPr>
        <w:tc>
          <w:tcPr>
            <w:tcW w:w="752" w:type="dxa"/>
            <w:vMerge w:val="restart"/>
          </w:tcPr>
          <w:p w:rsidR="00EB4146" w:rsidRDefault="00EB4146" w:rsidP="00EB4146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EB4146" w:rsidRDefault="00EB4146" w:rsidP="00EB4146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  <w:p w:rsidR="00EB4146" w:rsidRDefault="00EB4146" w:rsidP="00EB4146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EB4146" w:rsidRDefault="00EB4146" w:rsidP="00EB4146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</w:t>
            </w:r>
          </w:p>
          <w:p w:rsidR="00EB4146" w:rsidRDefault="00EB4146" w:rsidP="00EB4146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生</w:t>
            </w:r>
          </w:p>
          <w:p w:rsidR="00EB4146" w:rsidRDefault="00EB4146" w:rsidP="00EB4146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</w:t>
            </w:r>
          </w:p>
          <w:p w:rsidR="00EB4146" w:rsidRDefault="00EB4146" w:rsidP="00EB4146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习</w:t>
            </w:r>
          </w:p>
          <w:p w:rsidR="00EB4146" w:rsidRDefault="00EB4146" w:rsidP="00EB4146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行</w:t>
            </w:r>
          </w:p>
          <w:p w:rsidR="00EB4146" w:rsidRDefault="00EB4146" w:rsidP="00EB4146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为</w:t>
            </w:r>
          </w:p>
        </w:tc>
        <w:tc>
          <w:tcPr>
            <w:tcW w:w="735" w:type="dxa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学习</w:t>
            </w:r>
          </w:p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准备</w:t>
            </w:r>
          </w:p>
        </w:tc>
        <w:tc>
          <w:tcPr>
            <w:tcW w:w="4180" w:type="dxa"/>
            <w:gridSpan w:val="4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6、学生学习用品准备齐全，情绪饱满进入上课状态。</w:t>
            </w:r>
          </w:p>
        </w:tc>
        <w:tc>
          <w:tcPr>
            <w:tcW w:w="680" w:type="dxa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√</w:t>
            </w:r>
          </w:p>
        </w:tc>
        <w:tc>
          <w:tcPr>
            <w:tcW w:w="780" w:type="dxa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0" w:type="dxa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1" w:type="dxa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EB4146">
        <w:trPr>
          <w:trHeight w:val="716"/>
        </w:trPr>
        <w:tc>
          <w:tcPr>
            <w:tcW w:w="752" w:type="dxa"/>
            <w:vMerge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35" w:type="dxa"/>
            <w:vMerge w:val="restart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学习</w:t>
            </w:r>
          </w:p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状态</w:t>
            </w:r>
          </w:p>
        </w:tc>
        <w:tc>
          <w:tcPr>
            <w:tcW w:w="4180" w:type="dxa"/>
            <w:gridSpan w:val="4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7、不同层次的学生主动参与，倾听专注，遵守规则；积极发言，声音响亮；善于交流合作；读写认真，姿势正确，保持浓厚的学习兴趣和探究愿望。</w:t>
            </w:r>
          </w:p>
        </w:tc>
        <w:tc>
          <w:tcPr>
            <w:tcW w:w="680" w:type="dxa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80" w:type="dxa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√</w:t>
            </w:r>
          </w:p>
        </w:tc>
        <w:tc>
          <w:tcPr>
            <w:tcW w:w="750" w:type="dxa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1" w:type="dxa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EB4146">
        <w:trPr>
          <w:trHeight w:val="204"/>
        </w:trPr>
        <w:tc>
          <w:tcPr>
            <w:tcW w:w="752" w:type="dxa"/>
            <w:vMerge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35" w:type="dxa"/>
            <w:vMerge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180" w:type="dxa"/>
            <w:gridSpan w:val="4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8、自信独立；思维积极、富于想象；敢于质疑（乐于表达自己的观点和见解）</w:t>
            </w:r>
          </w:p>
        </w:tc>
        <w:tc>
          <w:tcPr>
            <w:tcW w:w="680" w:type="dxa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80" w:type="dxa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√</w:t>
            </w:r>
          </w:p>
        </w:tc>
        <w:tc>
          <w:tcPr>
            <w:tcW w:w="750" w:type="dxa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1" w:type="dxa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EB4146">
        <w:trPr>
          <w:trHeight w:val="204"/>
        </w:trPr>
        <w:tc>
          <w:tcPr>
            <w:tcW w:w="752" w:type="dxa"/>
            <w:vMerge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35" w:type="dxa"/>
            <w:vMerge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180" w:type="dxa"/>
            <w:gridSpan w:val="4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9、学习方式多样（有自主学习、主动探究、合作交流等学习过程）；学习习惯良好；课堂氛围民主、融洽、活跃。</w:t>
            </w:r>
          </w:p>
        </w:tc>
        <w:tc>
          <w:tcPr>
            <w:tcW w:w="680" w:type="dxa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√</w:t>
            </w:r>
          </w:p>
        </w:tc>
        <w:tc>
          <w:tcPr>
            <w:tcW w:w="780" w:type="dxa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0" w:type="dxa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1" w:type="dxa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EB4146">
        <w:trPr>
          <w:trHeight w:val="204"/>
        </w:trPr>
        <w:tc>
          <w:tcPr>
            <w:tcW w:w="752" w:type="dxa"/>
            <w:vMerge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35" w:type="dxa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学习</w:t>
            </w:r>
          </w:p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效果</w:t>
            </w:r>
          </w:p>
        </w:tc>
        <w:tc>
          <w:tcPr>
            <w:tcW w:w="4180" w:type="dxa"/>
            <w:gridSpan w:val="4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10、课堂训练、答问、交流、评说等的正确率高；学生学有所得，有成功体验；本节课相关的学习目标达成度高。</w:t>
            </w:r>
          </w:p>
        </w:tc>
        <w:tc>
          <w:tcPr>
            <w:tcW w:w="680" w:type="dxa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80" w:type="dxa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√</w:t>
            </w:r>
          </w:p>
        </w:tc>
        <w:tc>
          <w:tcPr>
            <w:tcW w:w="750" w:type="dxa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1" w:type="dxa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EB4146">
        <w:tc>
          <w:tcPr>
            <w:tcW w:w="5667" w:type="dxa"/>
            <w:gridSpan w:val="6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总评等第：</w:t>
            </w:r>
          </w:p>
        </w:tc>
        <w:tc>
          <w:tcPr>
            <w:tcW w:w="2981" w:type="dxa"/>
            <w:gridSpan w:val="4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88</w:t>
            </w:r>
          </w:p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EB4146">
        <w:trPr>
          <w:trHeight w:val="1398"/>
        </w:trPr>
        <w:tc>
          <w:tcPr>
            <w:tcW w:w="8648" w:type="dxa"/>
            <w:gridSpan w:val="10"/>
          </w:tcPr>
          <w:p w:rsidR="00EB4146" w:rsidRDefault="00EB4146" w:rsidP="00EB4146">
            <w:pPr>
              <w:spacing w:line="260" w:lineRule="exact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总体评述：</w:t>
            </w:r>
          </w:p>
          <w:p w:rsidR="00EB4146" w:rsidRPr="00255CA8" w:rsidRDefault="00EB4146" w:rsidP="00EB4146">
            <w:pPr>
              <w:spacing w:line="3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 w:rsidRPr="00B13B41">
              <w:rPr>
                <w:rFonts w:ascii="宋体" w:eastAsia="宋体" w:hAnsi="宋体" w:cs="宋体" w:hint="eastAsia"/>
                <w:sz w:val="24"/>
              </w:rPr>
              <w:t>本堂课能</w:t>
            </w:r>
            <w:r>
              <w:rPr>
                <w:rFonts w:ascii="宋体" w:eastAsia="宋体" w:hAnsi="宋体" w:cs="宋体" w:hint="eastAsia"/>
                <w:sz w:val="24"/>
              </w:rPr>
              <w:t>利用学校图书馆的设备设施，创设认识图书、了解图书各部分功能的教学环节，</w:t>
            </w:r>
            <w:r w:rsidRPr="00255CA8">
              <w:rPr>
                <w:rFonts w:ascii="宋体" w:eastAsia="宋体" w:hAnsi="宋体" w:cs="宋体" w:hint="eastAsia"/>
                <w:sz w:val="24"/>
              </w:rPr>
              <w:t>让孩子在</w:t>
            </w:r>
            <w:r>
              <w:rPr>
                <w:rFonts w:ascii="宋体" w:eastAsia="宋体" w:hAnsi="宋体" w:cs="宋体" w:hint="eastAsia"/>
                <w:sz w:val="24"/>
              </w:rPr>
              <w:t>相互交流、互助学习的宽松氛围下学习有关知识。教师关注学生的课堂即时反应，注重课堂即时评价，如果教师能再强调学生生成性的内容就更好了。</w:t>
            </w:r>
          </w:p>
        </w:tc>
      </w:tr>
    </w:tbl>
    <w:p w:rsidR="0065142B" w:rsidRDefault="00C87DD3" w:rsidP="0061096D">
      <w:pPr>
        <w:spacing w:line="360" w:lineRule="exact"/>
        <w:rPr>
          <w:rFonts w:ascii="锐字云字库楷体1.0" w:eastAsia="锐字云字库楷体1.0" w:hAnsi="锐字云字库楷体1.0" w:cs="锐字云字库楷体1.0"/>
          <w:sz w:val="24"/>
        </w:rPr>
      </w:pPr>
      <w:r>
        <w:rPr>
          <w:rFonts w:ascii="宋体" w:eastAsia="宋体" w:hAnsi="宋体" w:cs="仿宋_GB2312" w:hint="eastAsia"/>
          <w:b/>
          <w:sz w:val="24"/>
        </w:rPr>
        <w:t>备注</w:t>
      </w:r>
      <w:r w:rsidR="0061096D">
        <w:rPr>
          <w:rFonts w:ascii="宋体" w:eastAsia="宋体" w:hAnsi="宋体" w:cs="仿宋_GB2312" w:hint="eastAsia"/>
          <w:sz w:val="24"/>
        </w:rPr>
        <w:t>:</w:t>
      </w:r>
      <w:r w:rsidR="0061096D">
        <w:rPr>
          <w:rFonts w:ascii="宋体" w:eastAsia="宋体" w:hAnsi="宋体" w:cs="仿宋_GB2312"/>
          <w:sz w:val="24"/>
        </w:rPr>
        <w:t>ABCD</w:t>
      </w:r>
      <w:r w:rsidR="0061096D">
        <w:rPr>
          <w:rFonts w:ascii="宋体" w:eastAsia="宋体" w:hAnsi="宋体" w:cs="仿宋_GB2312" w:hint="eastAsia"/>
          <w:sz w:val="24"/>
        </w:rPr>
        <w:t>分别</w:t>
      </w:r>
      <w:r w:rsidR="0061096D">
        <w:rPr>
          <w:rFonts w:ascii="宋体" w:eastAsia="宋体" w:hAnsi="宋体" w:cs="仿宋_GB2312"/>
          <w:sz w:val="24"/>
        </w:rPr>
        <w:t>代表</w:t>
      </w:r>
      <w:r w:rsidR="0061096D">
        <w:rPr>
          <w:rFonts w:ascii="宋体" w:eastAsia="宋体" w:hAnsi="宋体" w:cs="仿宋_GB2312" w:hint="eastAsia"/>
          <w:sz w:val="24"/>
        </w:rPr>
        <w:t>10、8、6、4分。</w:t>
      </w:r>
      <w:r w:rsidR="0061096D">
        <w:rPr>
          <w:rFonts w:ascii="宋体" w:eastAsia="宋体" w:hAnsi="宋体" w:cs="仿宋_GB2312"/>
          <w:sz w:val="24"/>
        </w:rPr>
        <w:t>总评</w:t>
      </w:r>
      <w:r w:rsidR="0061096D">
        <w:rPr>
          <w:rFonts w:ascii="宋体" w:eastAsia="宋体" w:hAnsi="宋体" w:cs="仿宋_GB2312" w:hint="eastAsia"/>
          <w:sz w:val="24"/>
        </w:rPr>
        <w:t>等第</w:t>
      </w:r>
      <w:r w:rsidR="0061096D">
        <w:rPr>
          <w:rFonts w:ascii="宋体" w:eastAsia="宋体" w:hAnsi="宋体" w:cs="仿宋_GB2312"/>
          <w:sz w:val="24"/>
        </w:rPr>
        <w:t>为</w:t>
      </w:r>
      <w:r w:rsidR="0061096D">
        <w:rPr>
          <w:rFonts w:ascii="宋体" w:eastAsia="宋体" w:hAnsi="宋体" w:cs="仿宋_GB2312" w:hint="eastAsia"/>
          <w:sz w:val="24"/>
        </w:rPr>
        <w:t>十个</w:t>
      </w:r>
      <w:r w:rsidR="0061096D">
        <w:rPr>
          <w:rFonts w:ascii="宋体" w:eastAsia="宋体" w:hAnsi="宋体" w:cs="仿宋_GB2312"/>
          <w:sz w:val="24"/>
        </w:rPr>
        <w:t>单项的</w:t>
      </w:r>
      <w:r w:rsidR="0061096D">
        <w:rPr>
          <w:rFonts w:ascii="宋体" w:eastAsia="宋体" w:hAnsi="宋体" w:cs="仿宋_GB2312" w:hint="eastAsia"/>
          <w:sz w:val="24"/>
        </w:rPr>
        <w:t>累计分值</w:t>
      </w:r>
      <w:r w:rsidR="0061096D">
        <w:rPr>
          <w:rFonts w:ascii="宋体" w:eastAsia="宋体" w:hAnsi="宋体" w:cs="仿宋_GB2312"/>
          <w:sz w:val="24"/>
        </w:rPr>
        <w:t>。</w:t>
      </w:r>
      <w:bookmarkStart w:id="0" w:name="_GoBack"/>
      <w:bookmarkEnd w:id="0"/>
    </w:p>
    <w:sectPr w:rsidR="0065142B" w:rsidSect="0031527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F42" w:rsidRDefault="001D2F42">
      <w:r>
        <w:separator/>
      </w:r>
    </w:p>
  </w:endnote>
  <w:endnote w:type="continuationSeparator" w:id="0">
    <w:p w:rsidR="001D2F42" w:rsidRDefault="001D2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锐字云字库楷体1.0">
    <w:altName w:val="宋体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F42" w:rsidRDefault="001D2F42">
      <w:r>
        <w:separator/>
      </w:r>
    </w:p>
  </w:footnote>
  <w:footnote w:type="continuationSeparator" w:id="0">
    <w:p w:rsidR="001D2F42" w:rsidRDefault="001D2F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42B" w:rsidRDefault="0065142B">
    <w:pPr>
      <w:pStyle w:val="a4"/>
      <w:jc w:val="center"/>
      <w:rPr>
        <w:rFonts w:ascii="宋体" w:eastAsia="宋体" w:hAnsi="宋体" w:cs="宋体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BA7440"/>
    <w:rsid w:val="00084D34"/>
    <w:rsid w:val="00106E4C"/>
    <w:rsid w:val="001D2F42"/>
    <w:rsid w:val="00255CA8"/>
    <w:rsid w:val="00307D9E"/>
    <w:rsid w:val="00315271"/>
    <w:rsid w:val="003F0B25"/>
    <w:rsid w:val="005018E2"/>
    <w:rsid w:val="0052055E"/>
    <w:rsid w:val="005248C4"/>
    <w:rsid w:val="0061096D"/>
    <w:rsid w:val="0065142B"/>
    <w:rsid w:val="00651D52"/>
    <w:rsid w:val="00727D6F"/>
    <w:rsid w:val="00743CB9"/>
    <w:rsid w:val="008202AD"/>
    <w:rsid w:val="009C5E0F"/>
    <w:rsid w:val="009E3D41"/>
    <w:rsid w:val="00B13B41"/>
    <w:rsid w:val="00B6064A"/>
    <w:rsid w:val="00C87DD3"/>
    <w:rsid w:val="00C91899"/>
    <w:rsid w:val="00E05376"/>
    <w:rsid w:val="00E055D2"/>
    <w:rsid w:val="00EB4146"/>
    <w:rsid w:val="00FC2A9A"/>
    <w:rsid w:val="059A32A2"/>
    <w:rsid w:val="0FDE2E42"/>
    <w:rsid w:val="1A227283"/>
    <w:rsid w:val="1B280E2B"/>
    <w:rsid w:val="1B551EA8"/>
    <w:rsid w:val="1BD1493D"/>
    <w:rsid w:val="1C8E11BF"/>
    <w:rsid w:val="239721F9"/>
    <w:rsid w:val="2857694F"/>
    <w:rsid w:val="29BA7440"/>
    <w:rsid w:val="29D47A4B"/>
    <w:rsid w:val="2D8D57A8"/>
    <w:rsid w:val="2FF90135"/>
    <w:rsid w:val="33966AF2"/>
    <w:rsid w:val="3B650D8D"/>
    <w:rsid w:val="3FB47725"/>
    <w:rsid w:val="400B5B00"/>
    <w:rsid w:val="4A3D35ED"/>
    <w:rsid w:val="4D067D80"/>
    <w:rsid w:val="50C749AB"/>
    <w:rsid w:val="511068D2"/>
    <w:rsid w:val="594F60D8"/>
    <w:rsid w:val="631143A3"/>
    <w:rsid w:val="65360E3D"/>
    <w:rsid w:val="6D1F5EBA"/>
    <w:rsid w:val="711263A5"/>
    <w:rsid w:val="79910819"/>
    <w:rsid w:val="7EA44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52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1527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152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31527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omeuser</cp:lastModifiedBy>
  <cp:revision>9</cp:revision>
  <cp:lastPrinted>2017-09-07T04:58:00Z</cp:lastPrinted>
  <dcterms:created xsi:type="dcterms:W3CDTF">2017-10-12T05:39:00Z</dcterms:created>
  <dcterms:modified xsi:type="dcterms:W3CDTF">2017-10-18T03:43:00Z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